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D4B" w:rsidRPr="00361D4B" w:rsidRDefault="00361D4B" w:rsidP="00361D4B">
      <w:pPr>
        <w:autoSpaceDE w:val="0"/>
        <w:autoSpaceDN w:val="0"/>
        <w:adjustRightInd w:val="0"/>
        <w:spacing w:after="0" w:line="240" w:lineRule="auto"/>
        <w:jc w:val="right"/>
        <w:rPr>
          <w:rFonts w:ascii="Times New Roman" w:hAnsi="Times New Roman"/>
          <w:color w:val="000000"/>
          <w:sz w:val="20"/>
          <w:szCs w:val="24"/>
        </w:rPr>
      </w:pPr>
      <w:bookmarkStart w:id="0" w:name="_GoBack"/>
      <w:bookmarkEnd w:id="0"/>
      <w:r w:rsidRPr="00361D4B">
        <w:rPr>
          <w:rFonts w:ascii="Times New Roman" w:hAnsi="Times New Roman"/>
          <w:color w:val="000000"/>
          <w:sz w:val="20"/>
          <w:szCs w:val="24"/>
        </w:rPr>
        <w:tab/>
        <w:t>PRIJEDLOG</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Na temelju članka 104. stavaka 1., 3. i 5. Zakona o komunalnom gospodarstvu (Narodne novine 68/18, 110/18 - Odluka Ustavnog suda Republike Hrvatske i 32/20) i članka 41. točke 2. Statuta Grada Zagreba (Službeni glasnik Grada Zagreba 23/16, 2/18, 23/18, 3/20, 3/21 i 11/21 – pročišćeni tekst), Gradska skupština Grada Zagreba, na ______sjednici, _____2022., donijela je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O D L U K U</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o izmjenama i dopunama Odluke</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o davanju u zakup i na drugo korištenje površina javne namjene</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1.</w:t>
      </w:r>
    </w:p>
    <w:p w:rsidR="00361D4B" w:rsidRPr="00361D4B" w:rsidRDefault="00361D4B" w:rsidP="00361D4B">
      <w:pPr>
        <w:autoSpaceDE w:val="0"/>
        <w:autoSpaceDN w:val="0"/>
        <w:adjustRightInd w:val="0"/>
        <w:spacing w:after="0" w:line="240" w:lineRule="auto"/>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U Odluci o davanju u zakup i na drugo korištenje površina javne namjene  (Službeni glasnik Grada Zagreba 28/20 i 21/21) u članku 4. stavku 1. točka se zamjenjuje zarezom i dodaju se riječi: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„osim postupka javnog natječaja za dodjelu lokacija s mjestima na površinama javne namjene za postavljanje pokretnih naprava za organiziranje manifestacija povodom božićnih blagdana u sklopu kojih se organizira prigodna prodaja i pružanje ugostiteljskih usluga koji provodi Povjerenstvo za provođenje javnog natječaja za dodjelu površina javne namjene za organiziranje manifestacija povodom božićnih blagdana.“</w:t>
      </w:r>
    </w:p>
    <w:p w:rsidR="00361D4B" w:rsidRPr="00361D4B" w:rsidRDefault="00361D4B" w:rsidP="00361D4B">
      <w:pPr>
        <w:autoSpaceDE w:val="0"/>
        <w:autoSpaceDN w:val="0"/>
        <w:adjustRightInd w:val="0"/>
        <w:spacing w:after="0" w:line="240" w:lineRule="auto"/>
        <w:jc w:val="center"/>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2.</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Iza članka 22. dodaje se naslov: </w:t>
      </w:r>
      <w:r w:rsidRPr="00361D4B">
        <w:rPr>
          <w:rFonts w:ascii="Times New Roman" w:hAnsi="Times New Roman"/>
          <w:b/>
          <w:bCs/>
          <w:color w:val="000000"/>
          <w:sz w:val="20"/>
          <w:szCs w:val="24"/>
        </w:rPr>
        <w:t>„Javni natječaj za postavljanje pokretnih naprava za prigodnu prodaju i ugostiteljske usluge za uskrsne i božićne blagdane“</w:t>
      </w:r>
      <w:r w:rsidRPr="00361D4B">
        <w:rPr>
          <w:rFonts w:ascii="Times New Roman" w:hAnsi="Times New Roman"/>
          <w:color w:val="000000"/>
          <w:sz w:val="20"/>
          <w:szCs w:val="24"/>
        </w:rPr>
        <w:t xml:space="preserve"> i članak 22.a koji glasi:</w:t>
      </w:r>
    </w:p>
    <w:p w:rsidR="00361D4B" w:rsidRPr="00361D4B" w:rsidRDefault="00361D4B" w:rsidP="00361D4B">
      <w:pPr>
        <w:autoSpaceDE w:val="0"/>
        <w:autoSpaceDN w:val="0"/>
        <w:adjustRightInd w:val="0"/>
        <w:spacing w:after="0" w:line="240" w:lineRule="auto"/>
        <w:jc w:val="center"/>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color w:val="000000"/>
          <w:sz w:val="20"/>
          <w:szCs w:val="24"/>
        </w:rPr>
        <w:t>„</w:t>
      </w:r>
      <w:r w:rsidRPr="00361D4B">
        <w:rPr>
          <w:rFonts w:ascii="Times New Roman" w:hAnsi="Times New Roman"/>
          <w:b/>
          <w:bCs/>
          <w:color w:val="000000"/>
          <w:sz w:val="20"/>
          <w:szCs w:val="24"/>
        </w:rPr>
        <w:t>Članak 22.a</w:t>
      </w:r>
    </w:p>
    <w:p w:rsidR="00361D4B" w:rsidRPr="00361D4B" w:rsidRDefault="00361D4B" w:rsidP="00361D4B">
      <w:pPr>
        <w:autoSpaceDE w:val="0"/>
        <w:autoSpaceDN w:val="0"/>
        <w:adjustRightInd w:val="0"/>
        <w:spacing w:after="0" w:line="240" w:lineRule="auto"/>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Lokacije - mjesta na površinama javne namjene za postavljanje pokretnih naprava za prigodnu prodaju i ugostiteljske usluge za uskrsne i božićne blagdane dodjeljuju se javnim natječajem.</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Gradonačelnik na prijedlog Povjerenstva zaključkom određuje lokacije - mjesta, namjenu, razdoblje i površinu za postavljanje pokretnih naprava iz stavka 1. ovoga članka, smjernice za izgled pokretne naprave i početni iznos jednokratne naknade za svaku lokaciju - mjesto.</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Javni natječaj iz stavka 1. ovoga članka raspisuje gradonačelnik na prijedlog gradskoga upravnog tijela nadležnoga za komunalne poslove i javne površine, i to u povodu uskrsnih blagdana do 20. siječnja tekuće godine, a u povodu božićnih blagdana do 1. kolovoza tekuće godine.“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Javni natječaj osobito sadrži: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1. naznaku tko može podnijeti ponudu (fizička osoba obrtnik, pravna osoba, odnosno zajednica ponuditelja)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2. naznaku obveze podnošenja izvatka iz sudskoga ili drugog odgovarajućeg registra u izvorniku ili u ovjerenoj preslici ne starijoj od šest (6) mjeseci od dana objave javnog natječaja za ponuditelja i sve članove zajednice ponuditelja</w:t>
      </w:r>
    </w:p>
    <w:p w:rsidR="00361D4B" w:rsidRPr="00361D4B" w:rsidRDefault="00361D4B" w:rsidP="00361D4B">
      <w:pPr>
        <w:autoSpaceDE w:val="0"/>
        <w:autoSpaceDN w:val="0"/>
        <w:adjustRightInd w:val="0"/>
        <w:spacing w:after="0" w:line="240" w:lineRule="auto"/>
        <w:jc w:val="both"/>
        <w:rPr>
          <w:rFonts w:ascii="Times New Roman" w:hAnsi="Times New Roman"/>
          <w:color w:val="FF0000"/>
          <w:sz w:val="20"/>
          <w:szCs w:val="24"/>
        </w:rPr>
      </w:pPr>
      <w:r w:rsidRPr="00361D4B">
        <w:rPr>
          <w:rFonts w:ascii="Times New Roman" w:hAnsi="Times New Roman"/>
          <w:color w:val="000000"/>
          <w:sz w:val="20"/>
          <w:szCs w:val="24"/>
        </w:rPr>
        <w:t>3. naziv lokacije - mjesta</w:t>
      </w:r>
      <w:r w:rsidRPr="00361D4B">
        <w:rPr>
          <w:rFonts w:ascii="Times New Roman" w:hAnsi="Times New Roman"/>
          <w:color w:val="FF0000"/>
          <w:sz w:val="20"/>
          <w:szCs w:val="24"/>
        </w:rPr>
        <w:t xml:space="preserve">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4. naznaku ako ponudu podnosi zajednica ponuditelja da ponuda obvezno sadrži naznaku vodećeg člana zajednice, naznaku lokacije - mjesta, površinu lokacije - mjesta za svakoga pojedinoga člana te namjenu (ugostiteljstvo, prigodna prodaja i slično) za svakoga člana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5. naznaku početnog iznosa jednokratne naknade i naznaku da se za korištenje plaća i naknada sukladno pravilniku kojim se određuje zakupnina i naknada za korištenje površine javne namjene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6. naznaku koja se ponuda smatra najpovoljnijom ponudom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7. naznaku da je ponuditelj dužan naznačiti osnovne specifikacije o izgledu pokretne naprave te njihovu namjenu (ugostiteljstvo, prigodna prodaja i slično)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8. razdoblje postavljanja pokretne naprave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9. naznaku obveze podnošenja javnobilježnički ovjerene izjave ponuditelja</w:t>
      </w:r>
      <w:r w:rsidRPr="00361D4B">
        <w:rPr>
          <w:rFonts w:ascii="Times New Roman" w:hAnsi="Times New Roman"/>
          <w:color w:val="000000"/>
          <w:sz w:val="20"/>
        </w:rPr>
        <w:t xml:space="preserve"> </w:t>
      </w:r>
      <w:r w:rsidRPr="00361D4B">
        <w:rPr>
          <w:rFonts w:ascii="Times New Roman" w:hAnsi="Times New Roman"/>
          <w:color w:val="000000"/>
          <w:sz w:val="20"/>
          <w:szCs w:val="24"/>
        </w:rPr>
        <w:t xml:space="preserve">i svih članova zajednice ponuditelja da nemaju dugovanja prema Gradu Zagrebu po bilo kojoj osnovi (komunalna naknada, komunalni doprinos, zakupnina, </w:t>
      </w:r>
      <w:r w:rsidRPr="00361D4B">
        <w:rPr>
          <w:rFonts w:ascii="Times New Roman" w:hAnsi="Times New Roman"/>
          <w:color w:val="000000"/>
          <w:sz w:val="20"/>
          <w:szCs w:val="24"/>
        </w:rPr>
        <w:lastRenderedPageBreak/>
        <w:t>naknada za korištenje prostora i slično), ne stariju od 30 dana od dana objave javnog natječaja i potvrde porezne uprave da nemaju nepodmirenih dospjelih poreznih obveza ne stariju od 30 dana od dana objave javnog natječaja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10. naznaku da je ponuditelj dužan snositi troškove nabave i postavljanja pokretnih naprava, električne energije, čistoće, priključaka na komunalnu infrastrukturu, po potrebi zaštitara i druge troškove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11. naznaku da će se nepravodobne i nepotpune ponude odbaciti, a ponude koje ne ispunjavaju uvjete odbiti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12. druge potrebne napomene.“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3.</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120" w:line="240" w:lineRule="auto"/>
        <w:rPr>
          <w:rFonts w:ascii="Times New Roman" w:hAnsi="Times New Roman"/>
          <w:color w:val="000000"/>
          <w:sz w:val="20"/>
          <w:szCs w:val="24"/>
        </w:rPr>
      </w:pPr>
      <w:r w:rsidRPr="00361D4B">
        <w:rPr>
          <w:rFonts w:ascii="Times New Roman" w:hAnsi="Times New Roman"/>
          <w:color w:val="000000"/>
          <w:sz w:val="20"/>
          <w:szCs w:val="24"/>
        </w:rPr>
        <w:t>Iza članka 22.a dodaje se članak 22.b koji glasi:</w:t>
      </w:r>
    </w:p>
    <w:p w:rsidR="00361D4B" w:rsidRPr="00361D4B" w:rsidRDefault="00361D4B" w:rsidP="00361D4B">
      <w:pPr>
        <w:autoSpaceDE w:val="0"/>
        <w:autoSpaceDN w:val="0"/>
        <w:adjustRightInd w:val="0"/>
        <w:spacing w:after="120" w:line="240" w:lineRule="auto"/>
        <w:jc w:val="center"/>
        <w:rPr>
          <w:rFonts w:ascii="Times New Roman" w:hAnsi="Times New Roman"/>
          <w:b/>
          <w:bCs/>
          <w:color w:val="000000"/>
          <w:sz w:val="20"/>
          <w:szCs w:val="24"/>
        </w:rPr>
      </w:pPr>
      <w:r w:rsidRPr="00361D4B">
        <w:rPr>
          <w:rFonts w:ascii="Times New Roman" w:hAnsi="Times New Roman"/>
          <w:color w:val="000000"/>
          <w:sz w:val="20"/>
          <w:szCs w:val="24"/>
        </w:rPr>
        <w:t>„</w:t>
      </w:r>
      <w:r w:rsidRPr="00361D4B">
        <w:rPr>
          <w:rFonts w:ascii="Times New Roman" w:hAnsi="Times New Roman"/>
          <w:b/>
          <w:bCs/>
          <w:color w:val="000000"/>
          <w:sz w:val="20"/>
          <w:szCs w:val="24"/>
        </w:rPr>
        <w:t>Članak 22.b</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Najpovoljnija ponuda je ona ponuda koja ispunjava uvjete javnog natječaja i sadrži najviši iznos jednokratne naknade koji ne smije biti niži od početnog iznosa naknade.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Za postavljanje pokretnih naprava iz članka 22.a stavka 1. ove odluke jednom ponuditelju može se dodijeliti najviše do 25 % lokacija - mjesta na površinama javne namjene oglašenih u javnom natječaju.</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Ako ponude istog ponuditelja sadrže najviši iznos jednokratne naknade za lokacije - mjesta kojima se prelazi postotak utvrđen stavkom 2. ovoga članka, Povjerenstvo će pozvati ponuditelja da se u roku od 48 sati izjasni od kojih ponuda za lokacije - mjesta odustaje.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Ako se ponuditelj ne odazove pozivu iz stavka 3. ovoga članka, gradonačelnik će mu dodijeliti lokacije - mjesta do postotka utvrđenog stavkom 2. ovoga članka koje predloži Povjerenstvo.</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Ako dva ili više ponuditelja ponude jednak iznos jednokratne naknade za istu lokaciju - mjesto, Povjerenstvo će pozvati ponuditelje da ponude novi iznos naknade, koji ne može biti manji od prvotno ponuđenoga, a najpovoljnija ponuda je ona ponuda koja sadrži najviši iznos jednokratne naknade.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Gradonačelnik zaključkom na prijedlog Povjerenstva dodjeljuje lokaciju - mjesto za postavljanje pokretne naprave iz članka 22.a stavka 1. ove odluke.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Gradsko upravno tijelo nadležno za komunalne poslove i javne površine donijet će rješenje na temelju zaključka iz stavka 6. ovoga članka.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Na sva ostala pitanja vezana za dodjelu lokacije-mjesta na površinama javne namjene za postavljanje pokretnih naprava iz članka 22.a stavka 1. ove odluke, a koja nisu uređena ovim člankom i člancima 22.a i 22.b ove odluke, na odgovarajući način primjenjuju se odredbe ove odluke kojima se uređuje postupak javnog natječaja za postavljanje kioska i pokretnih naprava.“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4.</w:t>
      </w:r>
    </w:p>
    <w:p w:rsidR="00361D4B" w:rsidRPr="00361D4B" w:rsidRDefault="00361D4B" w:rsidP="00361D4B">
      <w:pPr>
        <w:autoSpaceDE w:val="0"/>
        <w:autoSpaceDN w:val="0"/>
        <w:adjustRightInd w:val="0"/>
        <w:spacing w:after="0" w:line="240" w:lineRule="auto"/>
        <w:jc w:val="both"/>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Iza članka 22.b dodaje se naslov: „</w:t>
      </w:r>
      <w:r w:rsidRPr="00361D4B">
        <w:rPr>
          <w:rFonts w:ascii="Times New Roman" w:hAnsi="Times New Roman"/>
          <w:b/>
          <w:bCs/>
          <w:color w:val="000000"/>
          <w:sz w:val="20"/>
          <w:szCs w:val="24"/>
        </w:rPr>
        <w:t xml:space="preserve">Javni natječaj za postavljanje pokretnih naprava za organiziranje manifestacija povodom božićnih blagdana“ </w:t>
      </w:r>
      <w:r w:rsidRPr="00361D4B">
        <w:rPr>
          <w:rFonts w:ascii="Times New Roman" w:hAnsi="Times New Roman"/>
          <w:color w:val="000000"/>
          <w:sz w:val="20"/>
          <w:szCs w:val="24"/>
        </w:rPr>
        <w:t>i članak 22.c koji glasi:</w:t>
      </w: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color w:val="000000"/>
          <w:sz w:val="20"/>
          <w:szCs w:val="24"/>
        </w:rPr>
        <w:t>„</w:t>
      </w:r>
      <w:r w:rsidRPr="00361D4B">
        <w:rPr>
          <w:rFonts w:ascii="Times New Roman" w:hAnsi="Times New Roman"/>
          <w:b/>
          <w:bCs/>
          <w:color w:val="000000"/>
          <w:sz w:val="20"/>
          <w:szCs w:val="24"/>
        </w:rPr>
        <w:t>Članak 22.c</w:t>
      </w:r>
    </w:p>
    <w:p w:rsidR="00361D4B" w:rsidRPr="00361D4B" w:rsidRDefault="00361D4B" w:rsidP="00361D4B">
      <w:pPr>
        <w:autoSpaceDE w:val="0"/>
        <w:autoSpaceDN w:val="0"/>
        <w:adjustRightInd w:val="0"/>
        <w:spacing w:after="0" w:line="240" w:lineRule="auto"/>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Lokacije s mjestima na površinama javne namjene za postavljanje pokretnih naprava za organiziranje manifestacija povodom božićnih blagdana u sklopu kojih se organizira prigodna prodaja i pružanje ugostiteljskih usluga dodjeljuju se javnim natječajem.</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Postupak javnog natječaja za dodjelu lokacije s mjestima na površinama javne namjene za postavljanje pokretnih naprava iz stavka 1. ovoga članka provodi Povjerenstvo za provođenje javnog natječaja za dodjelu površina javne namjene za organiziranje manifestacija povodom božićnih blagdana.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Povjerenstvo iz stavka 2. ovoga članka osniva i imenuje gradonačelnik, ima predsjednika i najmanje šest članova te njihove zamjenike, a na zadaće i rad na odgovarajući način primjenjuje se članak 4. ove odluke.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Gradonačelnik na prijedlog povjerenstva iz stavka 2. ovoga članka zaključkom može odrediti   lokacije s mjestima, vrijeme održavanja manifestacije, najmanji i najveći broj pokretnih naprava koje se mogu postaviti na pojedinoj lokaciji, površinu pokretne naprave, namjenu pokretne naprave i smjernice za izgled pokretne naprave.“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5.</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r w:rsidRPr="00361D4B">
        <w:rPr>
          <w:rFonts w:ascii="Times New Roman" w:hAnsi="Times New Roman"/>
          <w:color w:val="000000"/>
          <w:sz w:val="20"/>
          <w:szCs w:val="24"/>
        </w:rPr>
        <w:t>Iza članka 22.c dodaje se članak 22. d koji glasi:</w:t>
      </w: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22.d</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xml:space="preserve">Javni natječaj za postavljanje pokretnih naprava za organiziranje manifestacija povodom božićnih blagdana u sklopu kojih se organizira prigodna prodaja i pružanje ugostiteljskih usluga raspisuje gradonačelnik na prijedlog gradskoga upravnog tijela nadležnoga za komunalne poslove i javne površine do 1. kolovoza tekuće godine.  </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Javni natječaj osobito sadrži:</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 xml:space="preserve">naznaku tko može podnijeti ponudu (fizička osoba obrtnik, pravna osoba ili zajednica ponuditelja) </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naziv lokacija s mjestima</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obveze podnošenja osnovnih podataka o ponuditelju odnosno vodećem članu i svim članovima zajednice ponuditelja</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obveze podnošenja izvatka iz sudskoga ili drugog odgovarajućeg registra u izvorniku ili u ovjerenoj preslici ne starijoj od šest (6) mjeseci od dana objave javnog natječaja za ponuditelja i za sve članove zajednice ponuditelja</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 xml:space="preserve">naznaku da ako ponudu podnosi zajednica ponuditelja da ponuda obvezno sadrži naznaku vodećeg člana zajednice koji odgovara u cijelosti za preuzete obveze i s kojim se sklapa ugovor, naznaku lokacije s mjestima, površinu lokacije s mjestima i površinu mjesta za svakoga pojedinoga člana te namjenu (ugostiteljstvo, prigodna prodaja i slično) za svakoga člana </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da ako ponudu podnosi zajednica ponuditelja da je ovlaštena u ponudi naznačiti do najviše 1/3 zamjenskih članova zajednice ponuditelja</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iznosa naknade za korištenje površine javne namjene za pojedinu lokaciju s mjestima sukladno pravilniku kojim se određuje zakupnina i naknada za korištenje površine javne namjene</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koja se ponuda smatra najboljom ponudom</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razdoblje postavljanja pokretne naprave</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da je ponuditelj dužan postaviti pokretne naprave sukladno smjernicama o izgledu pokretne naprave</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da je ponuditelj dužan imati postavljene pokretne naprave i obavljati u njima djelatnost za cijelo vrijeme trajanja manifestacije</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 xml:space="preserve">naznaku obveze podnošenja opisa cjelokupnog koncepta programa lokacije (vizualizacija i prezentacija programa i uređenja/prigodnog ukrašavanja lokacije) u pisanom obliku u boji i pohranjeno na uređaju za digitalnu pohranu podataka - cd, </w:t>
      </w:r>
      <w:proofErr w:type="spellStart"/>
      <w:r w:rsidRPr="00361D4B">
        <w:rPr>
          <w:rFonts w:ascii="Times New Roman" w:hAnsi="Times New Roman"/>
          <w:color w:val="000000"/>
          <w:sz w:val="20"/>
          <w:szCs w:val="24"/>
        </w:rPr>
        <w:t>usb</w:t>
      </w:r>
      <w:proofErr w:type="spellEnd"/>
      <w:r w:rsidRPr="00361D4B">
        <w:rPr>
          <w:rFonts w:ascii="Times New Roman" w:hAnsi="Times New Roman"/>
          <w:color w:val="000000"/>
          <w:sz w:val="20"/>
          <w:szCs w:val="24"/>
        </w:rPr>
        <w:t xml:space="preserve"> i slično </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obveze podnošenja troškovnika (projekcija troškova i očekivanih prihoda)</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 xml:space="preserve">naznaku obveze polaganja jamstva za ozbiljnost ponude u iznosu od 20 % ukupnog iznosa naknade za korištenje površine javne namjene utvrđene prema površini najvećeg broja pokretnih naprava za pojedinu lokaciju </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 xml:space="preserve">naznaku obveze podnošenja javnobilježnički ovjerene izjave ponuditelja i svih članova zajednice ponuditelja da nemaju dugovanja prema Gradu Zagrebu po bilo kojoj osnovi (komunalna naknada, komunalni doprinos, zakupnina, naknada za korištenje prostora i slično) i potvrde porezne uprave da nemaju nepodmirenih dospjelih poreznih obveza ne starije od 30 dana od dana objave javnog natječaja </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da je ponuditelj dužan snositi troškove nabave i postavljanja pokretnih naprava, električne energije, čistoće, priključaka na komunalnu infrastrukturu, po potrebi zaštitara i druge troškove</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naznaku da će se nepravodobne i nepotpune ponude odbaciti, a ponude koje ne ispunjavaju uvjete odbiti</w:t>
      </w:r>
    </w:p>
    <w:p w:rsidR="00361D4B" w:rsidRPr="00361D4B" w:rsidRDefault="00361D4B" w:rsidP="00361D4B">
      <w:pPr>
        <w:numPr>
          <w:ilvl w:val="0"/>
          <w:numId w:val="1"/>
        </w:numPr>
        <w:autoSpaceDE w:val="0"/>
        <w:autoSpaceDN w:val="0"/>
        <w:adjustRightInd w:val="0"/>
        <w:spacing w:after="0" w:line="240" w:lineRule="auto"/>
        <w:ind w:left="360" w:hanging="360"/>
        <w:jc w:val="both"/>
        <w:rPr>
          <w:rFonts w:ascii="Times New Roman" w:hAnsi="Times New Roman"/>
          <w:color w:val="000000"/>
          <w:sz w:val="20"/>
          <w:szCs w:val="24"/>
        </w:rPr>
      </w:pPr>
      <w:r w:rsidRPr="00361D4B">
        <w:rPr>
          <w:rFonts w:ascii="Times New Roman" w:hAnsi="Times New Roman"/>
          <w:color w:val="000000"/>
          <w:sz w:val="20"/>
          <w:szCs w:val="24"/>
        </w:rPr>
        <w:t xml:space="preserve">druge potrebne napomene.“ </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6.</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r w:rsidRPr="00361D4B">
        <w:rPr>
          <w:rFonts w:ascii="Times New Roman" w:hAnsi="Times New Roman"/>
          <w:color w:val="000000"/>
          <w:sz w:val="20"/>
          <w:szCs w:val="24"/>
        </w:rPr>
        <w:t>Iza članka 22.d dodaje se članak 22.e koji glasi:</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color w:val="000000"/>
          <w:sz w:val="20"/>
          <w:szCs w:val="24"/>
        </w:rPr>
        <w:t>„</w:t>
      </w:r>
      <w:r w:rsidRPr="00361D4B">
        <w:rPr>
          <w:rFonts w:ascii="Times New Roman" w:hAnsi="Times New Roman"/>
          <w:b/>
          <w:bCs/>
          <w:color w:val="000000"/>
          <w:sz w:val="20"/>
          <w:szCs w:val="24"/>
        </w:rPr>
        <w:t>Članak 22.e</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Najbolja ponuda je ona ponuda koja ispunjava uvjete iz javnoga natječaja i ima najveći broj bodova prema sljedećim kriterijima: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kreativnost i inovativnost od 1 do 20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raznolikost programa (različite dobne skupine, ugostiteljska ponuda, prigodna prodaja i drugo) od 1 do 15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uređenje/prigodno ukrašavanje lokacije i primjena ekoloških rješenja od 1 do 15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dužina trajanja  i broj predviđenih događanja od 1 do 10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održivost koncepta manifestacije (financijska opravdanost prihoda i troškova, kadrovi za provedbu i slično) od 1 do 10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raznolikost i kvantiteta promotivnih aktivnosti manifestacije od 1 do 10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sposobnost i iskustvo ponuditelja (ranije iskustvo, nagrade i slično) od 1 do 10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kvaliteta organizacije (broj redara, plan postavljanja, uklanjanja i slično) od 1 do 10 bodova.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Ako dvije ili više ponuda imaju najveći broj bodova najbolja ponuda je ona ponuda koja je ostvarila veći broj bodova iz kriterija kreativnosti i inovativnosti, a ako ponude imaju i isti broj bodova iz kriterija kreativnosti i inovativnosti, prednost ima ona ponuda koja je ranije podnesena.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Za postavljanje pokretnih naprava iz članka 22.c stavka 1. ove odluke jednom ponuditelju može se dodijeliti najviše do 25 % lokacija s mjestima na površinama javne namjene oglašenih u javnom natječaju.</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Ako su ponude istog ponuditelja najbolje ponude za lokacije s mjestima kojima se prelazi postotak utvrđen stavkom 3. ovoga članka, povjerenstvo iz članka 22.c stavka 2. ove odluke će pozvati ponuditelja da se u roku od 48 sati od primitka poziva izjasni od kojih ponuda za lokacije s mjestima odustaje.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Ako se ponuditelj ne odazove pozivu iz stavka 4. ovoga članka, gradonačelnik će mu dodijeliti lokacije s mjestima do postotka utvrđenog stavkom 3. ovoga članka koje predloži povjerenstvo iz članka 22.c stavka 2. ove odluke.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Na prijedlog povjerenstva iz članka 22.c stavka 2. ove odluke gradonačelnik zaključkom dodjeljuje najboljem ponuditelju lokaciju s mjestima za postavljanje pokretne naprave iz članka 22.c stavka 1. ove odluke, kojim se i određuje da je najbolji ponuditelj dužan u roku od 8 dana od dana primitka zaključka uplatiti cjelokupan iznos naknade za korištenje površine javne namjene i potpisati ugovor o korištenju površine javne namjene.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Gradsko upravno tijelo nadležno za komunalne poslove i javne površine donijet će rješenje na temelju zaključka iz stavka 6. ovoga članka.</w:t>
      </w: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Na sva ostala pitanja vezana za dodjelu lokacije s mjestima na površinama javne namjene za postavljanje pokretnih naprava iz članka 22.c stavka 1. ove odluke, koja nisu uređena ovim člankom i člancima 22.c i 22.d ove odluke, na odgovarajući način primjenjuju se odredbe ove odluke kojima se uređuje postupak javnog natječaja za postavljanje kioska i pokretnih naprava i ugovor o korištenju površina javne namjene.“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7.</w:t>
      </w:r>
    </w:p>
    <w:p w:rsidR="00361D4B" w:rsidRPr="00361D4B" w:rsidRDefault="00361D4B" w:rsidP="00361D4B">
      <w:pPr>
        <w:autoSpaceDE w:val="0"/>
        <w:autoSpaceDN w:val="0"/>
        <w:adjustRightInd w:val="0"/>
        <w:spacing w:after="0" w:line="240" w:lineRule="auto"/>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U članku 24. stavku 1. alineji 2. točka se zamjenjuje zarezom i dodaje se alineja 3. koja glasi:</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 organiziranje manifestacija povodom uskrsnih i božićnih blagdana u sklopu kojih se ne organizira prigodna prodaja i pružanje ugostiteljskih usluga.“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U stavku 3. riječi: „(ugostiteljstvo, prigodna prodaja i slično)“ brišu se.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8.</w:t>
      </w: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Članak 25. briše se.</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jc w:val="center"/>
        <w:rPr>
          <w:rFonts w:ascii="Times New Roman" w:hAnsi="Times New Roman"/>
          <w:b/>
          <w:bCs/>
          <w:color w:val="000000"/>
          <w:sz w:val="20"/>
          <w:szCs w:val="24"/>
        </w:rPr>
      </w:pPr>
      <w:r w:rsidRPr="00361D4B">
        <w:rPr>
          <w:rFonts w:ascii="Times New Roman" w:hAnsi="Times New Roman"/>
          <w:b/>
          <w:bCs/>
          <w:color w:val="000000"/>
          <w:sz w:val="20"/>
          <w:szCs w:val="24"/>
        </w:rPr>
        <w:t>Članak 9.</w:t>
      </w:r>
    </w:p>
    <w:p w:rsidR="00361D4B" w:rsidRPr="00361D4B" w:rsidRDefault="00361D4B" w:rsidP="00361D4B">
      <w:pPr>
        <w:autoSpaceDE w:val="0"/>
        <w:autoSpaceDN w:val="0"/>
        <w:adjustRightInd w:val="0"/>
        <w:spacing w:after="0" w:line="240" w:lineRule="auto"/>
        <w:jc w:val="both"/>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r w:rsidRPr="00361D4B">
        <w:rPr>
          <w:rFonts w:ascii="Times New Roman" w:hAnsi="Times New Roman"/>
          <w:color w:val="000000"/>
          <w:sz w:val="20"/>
          <w:szCs w:val="24"/>
        </w:rPr>
        <w:t>Ova odluka stupa na snagu osmoga dana od dana objave u Službenome glasniku Grada Zagreba.</w:t>
      </w:r>
    </w:p>
    <w:p w:rsidR="00361D4B" w:rsidRPr="00361D4B" w:rsidRDefault="00361D4B" w:rsidP="00361D4B">
      <w:pPr>
        <w:autoSpaceDE w:val="0"/>
        <w:autoSpaceDN w:val="0"/>
        <w:adjustRightInd w:val="0"/>
        <w:spacing w:after="0" w:line="240" w:lineRule="auto"/>
        <w:jc w:val="both"/>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r w:rsidRPr="00361D4B">
        <w:rPr>
          <w:rFonts w:ascii="Times New Roman" w:hAnsi="Times New Roman"/>
          <w:color w:val="000000"/>
          <w:sz w:val="20"/>
          <w:szCs w:val="24"/>
        </w:rPr>
        <w:t xml:space="preserve">KLASA: </w:t>
      </w: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r w:rsidRPr="00361D4B">
        <w:rPr>
          <w:rFonts w:ascii="Times New Roman" w:hAnsi="Times New Roman"/>
          <w:color w:val="000000"/>
          <w:sz w:val="20"/>
          <w:szCs w:val="24"/>
        </w:rPr>
        <w:t xml:space="preserve">URBROJ: </w:t>
      </w: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r w:rsidRPr="00361D4B">
        <w:rPr>
          <w:rFonts w:ascii="Times New Roman" w:hAnsi="Times New Roman"/>
          <w:color w:val="000000"/>
          <w:sz w:val="20"/>
          <w:szCs w:val="24"/>
        </w:rPr>
        <w:t xml:space="preserve">Zagreb, </w:t>
      </w:r>
    </w:p>
    <w:p w:rsidR="00361D4B" w:rsidRPr="00361D4B" w:rsidRDefault="00361D4B" w:rsidP="00361D4B">
      <w:pPr>
        <w:autoSpaceDE w:val="0"/>
        <w:autoSpaceDN w:val="0"/>
        <w:adjustRightInd w:val="0"/>
        <w:spacing w:after="0" w:line="240" w:lineRule="auto"/>
        <w:rPr>
          <w:rFonts w:ascii="Times New Roman" w:hAnsi="Times New Roman"/>
          <w:color w:val="000000"/>
          <w:sz w:val="20"/>
          <w:szCs w:val="24"/>
        </w:rPr>
      </w:pPr>
    </w:p>
    <w:p w:rsidR="00361D4B" w:rsidRPr="00361D4B" w:rsidRDefault="00361D4B" w:rsidP="00361D4B">
      <w:pPr>
        <w:autoSpaceDE w:val="0"/>
        <w:autoSpaceDN w:val="0"/>
        <w:adjustRightInd w:val="0"/>
        <w:spacing w:after="0" w:line="240" w:lineRule="auto"/>
        <w:ind w:left="4248"/>
        <w:jc w:val="center"/>
        <w:rPr>
          <w:rFonts w:ascii="Times New Roman" w:hAnsi="Times New Roman"/>
          <w:b/>
          <w:bCs/>
          <w:color w:val="000000"/>
          <w:sz w:val="20"/>
          <w:szCs w:val="24"/>
        </w:rPr>
      </w:pPr>
      <w:r w:rsidRPr="00361D4B">
        <w:rPr>
          <w:rFonts w:ascii="Times New Roman" w:hAnsi="Times New Roman"/>
          <w:b/>
          <w:bCs/>
          <w:color w:val="000000"/>
          <w:sz w:val="20"/>
          <w:szCs w:val="24"/>
        </w:rPr>
        <w:t>PREDSJEDNIK</w:t>
      </w:r>
    </w:p>
    <w:p w:rsidR="00361D4B" w:rsidRPr="00361D4B" w:rsidRDefault="00361D4B" w:rsidP="00361D4B">
      <w:pPr>
        <w:autoSpaceDE w:val="0"/>
        <w:autoSpaceDN w:val="0"/>
        <w:adjustRightInd w:val="0"/>
        <w:spacing w:after="0" w:line="240" w:lineRule="auto"/>
        <w:ind w:left="4248"/>
        <w:jc w:val="center"/>
        <w:rPr>
          <w:rFonts w:ascii="Times New Roman" w:hAnsi="Times New Roman"/>
          <w:b/>
          <w:bCs/>
          <w:color w:val="000000"/>
          <w:sz w:val="20"/>
          <w:szCs w:val="24"/>
        </w:rPr>
      </w:pPr>
      <w:r w:rsidRPr="00361D4B">
        <w:rPr>
          <w:rFonts w:ascii="Times New Roman" w:hAnsi="Times New Roman"/>
          <w:b/>
          <w:bCs/>
          <w:color w:val="000000"/>
          <w:sz w:val="20"/>
          <w:szCs w:val="24"/>
        </w:rPr>
        <w:t>GRADSKE SKUPŠTINE</w:t>
      </w:r>
    </w:p>
    <w:p w:rsidR="00361D4B" w:rsidRPr="00361D4B" w:rsidRDefault="00361D4B" w:rsidP="00361D4B">
      <w:pPr>
        <w:autoSpaceDE w:val="0"/>
        <w:autoSpaceDN w:val="0"/>
        <w:adjustRightInd w:val="0"/>
        <w:spacing w:after="0" w:line="240" w:lineRule="auto"/>
        <w:ind w:left="4248"/>
        <w:jc w:val="center"/>
        <w:rPr>
          <w:rFonts w:ascii="Times New Roman" w:hAnsi="Times New Roman"/>
          <w:b/>
          <w:bCs/>
          <w:color w:val="000000"/>
          <w:sz w:val="20"/>
          <w:szCs w:val="24"/>
        </w:rPr>
      </w:pPr>
    </w:p>
    <w:p w:rsidR="00361D4B" w:rsidRPr="00361D4B" w:rsidRDefault="00361D4B" w:rsidP="00361D4B">
      <w:pPr>
        <w:autoSpaceDE w:val="0"/>
        <w:autoSpaceDN w:val="0"/>
        <w:adjustRightInd w:val="0"/>
        <w:spacing w:after="0" w:line="240" w:lineRule="auto"/>
        <w:ind w:left="4248"/>
        <w:jc w:val="center"/>
        <w:rPr>
          <w:rFonts w:ascii="Times New Roman" w:hAnsi="Times New Roman"/>
          <w:b/>
          <w:bCs/>
          <w:color w:val="000000"/>
          <w:sz w:val="20"/>
          <w:szCs w:val="24"/>
        </w:rPr>
      </w:pPr>
      <w:r w:rsidRPr="00361D4B">
        <w:rPr>
          <w:rFonts w:ascii="Times New Roman" w:hAnsi="Times New Roman"/>
          <w:b/>
          <w:bCs/>
          <w:color w:val="000000"/>
          <w:sz w:val="20"/>
          <w:szCs w:val="24"/>
        </w:rPr>
        <w:t>Joško Klisović</w:t>
      </w:r>
    </w:p>
    <w:p w:rsidR="00361D4B" w:rsidRPr="00361D4B" w:rsidRDefault="00361D4B">
      <w:pPr>
        <w:rPr>
          <w:rFonts w:ascii="Times New Roman" w:hAnsi="Times New Roman"/>
          <w:sz w:val="20"/>
        </w:rPr>
      </w:pPr>
    </w:p>
    <w:sectPr w:rsidR="00361D4B" w:rsidRPr="00361D4B" w:rsidSect="0032453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D08AE"/>
    <w:multiLevelType w:val="singleLevel"/>
    <w:tmpl w:val="00064E5C"/>
    <w:lvl w:ilvl="0">
      <w:start w:val="1"/>
      <w:numFmt w:val="decimal"/>
      <w:lvlText w:val="%1."/>
      <w:legacy w:legacy="1" w:legacySpace="0" w:legacyIndent="0"/>
      <w:lvlJc w:val="left"/>
      <w:rPr>
        <w:rFonts w:ascii="Helv" w:hAnsi="Helv"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4B"/>
    <w:rsid w:val="00324537"/>
    <w:rsid w:val="00361D4B"/>
    <w:rsid w:val="00EF2E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48DCD06-417D-4C08-86E1-08CBE19F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Zenko</dc:creator>
  <cp:keywords/>
  <dc:description/>
  <cp:lastModifiedBy>Maja Kordić</cp:lastModifiedBy>
  <cp:revision>2</cp:revision>
  <cp:lastPrinted>2022-05-19T13:13:00Z</cp:lastPrinted>
  <dcterms:created xsi:type="dcterms:W3CDTF">2022-05-19T13:13:00Z</dcterms:created>
  <dcterms:modified xsi:type="dcterms:W3CDTF">2022-05-19T13:13:00Z</dcterms:modified>
</cp:coreProperties>
</file>